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ACA48" w14:textId="77777777" w:rsidR="007D1F74" w:rsidRPr="00F26B70" w:rsidRDefault="007D1F74" w:rsidP="007D1F74">
      <w:pPr>
        <w:shd w:val="clear" w:color="auto" w:fill="FFFFFF"/>
        <w:spacing w:after="0" w:line="360" w:lineRule="auto"/>
        <w:rPr>
          <w:noProof/>
          <w:sz w:val="24"/>
          <w:szCs w:val="24"/>
          <w:lang w:eastAsia="pt-BR"/>
        </w:rPr>
      </w:pPr>
    </w:p>
    <w:p w14:paraId="109F2206" w14:textId="77777777" w:rsidR="007D1F74" w:rsidRPr="00F26B70" w:rsidRDefault="007D1F74" w:rsidP="007D1F74">
      <w:pPr>
        <w:shd w:val="clear" w:color="auto" w:fill="FFFFFF"/>
        <w:spacing w:after="0" w:line="360" w:lineRule="auto"/>
        <w:jc w:val="center"/>
        <w:rPr>
          <w:noProof/>
          <w:sz w:val="24"/>
          <w:szCs w:val="24"/>
          <w:lang w:eastAsia="pt-BR"/>
        </w:rPr>
      </w:pPr>
      <w:r w:rsidRPr="00F26B70">
        <w:rPr>
          <w:noProof/>
          <w:sz w:val="24"/>
          <w:szCs w:val="24"/>
          <w:lang w:eastAsia="pt-BR"/>
        </w:rPr>
        <w:drawing>
          <wp:inline distT="0" distB="0" distL="0" distR="0" wp14:anchorId="3708E5AC" wp14:editId="6B5FD631">
            <wp:extent cx="5759450" cy="1864437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6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8E904" w14:textId="77777777" w:rsidR="007D1F74" w:rsidRPr="00F26B70" w:rsidRDefault="007D1F74" w:rsidP="007D1F74">
      <w:pPr>
        <w:shd w:val="clear" w:color="auto" w:fill="FFFFFF"/>
        <w:spacing w:after="0" w:line="360" w:lineRule="auto"/>
        <w:jc w:val="center"/>
        <w:rPr>
          <w:noProof/>
          <w:sz w:val="24"/>
          <w:szCs w:val="24"/>
          <w:lang w:eastAsia="pt-BR"/>
        </w:rPr>
      </w:pPr>
    </w:p>
    <w:p w14:paraId="59401811" w14:textId="77777777" w:rsidR="007D1F74" w:rsidRPr="00F26B70" w:rsidRDefault="007D1F74" w:rsidP="007D1F74">
      <w:pPr>
        <w:shd w:val="clear" w:color="auto" w:fill="FFFFFF"/>
        <w:spacing w:after="0" w:line="360" w:lineRule="auto"/>
        <w:jc w:val="center"/>
        <w:rPr>
          <w:noProof/>
          <w:sz w:val="24"/>
          <w:szCs w:val="24"/>
          <w:lang w:eastAsia="pt-BR"/>
        </w:rPr>
      </w:pPr>
    </w:p>
    <w:p w14:paraId="58CD76AC" w14:textId="77777777" w:rsidR="00F26B70" w:rsidRPr="00F26B70" w:rsidRDefault="00F26B70" w:rsidP="00F26B7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F26B7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Reaprender e recomeçar no mundo do trabalho na pandemia e pós-pandemia Covid-19: Resenha sobre o </w:t>
      </w:r>
      <w:r w:rsidRPr="00F26B70">
        <w:rPr>
          <w:rFonts w:ascii="Times New Roman" w:hAnsi="Times New Roman" w:cs="Times New Roman"/>
          <w:b/>
          <w:bCs/>
          <w:i/>
          <w:color w:val="4472C4" w:themeColor="accent1"/>
          <w:sz w:val="24"/>
          <w:szCs w:val="24"/>
        </w:rPr>
        <w:t>e-book</w:t>
      </w:r>
      <w:r w:rsidRPr="00F26B7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Protocolos </w:t>
      </w:r>
      <w:proofErr w:type="spellStart"/>
      <w:r w:rsidRPr="00F26B7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Covid-Free</w:t>
      </w:r>
      <w:proofErr w:type="spellEnd"/>
    </w:p>
    <w:p w14:paraId="4450BDB8" w14:textId="77777777" w:rsidR="007D1F74" w:rsidRPr="00F26B70" w:rsidRDefault="007D1F74" w:rsidP="007D1F7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FC5428" w14:textId="46DD993F" w:rsidR="00F26B70" w:rsidRPr="00F26B70" w:rsidRDefault="00F26B70" w:rsidP="00F26B70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E4CE26D" w14:textId="77777777" w:rsidR="00F26B70" w:rsidRPr="00F26B70" w:rsidRDefault="00F26B70" w:rsidP="00F26B70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0F69C4B" w14:textId="4E18A199" w:rsidR="00F26B70" w:rsidRPr="00F26B70" w:rsidRDefault="00F26B70" w:rsidP="00F26B70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26B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Carla Jorge Machado</w:t>
      </w:r>
      <w:r w:rsidRPr="00F26B70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1</w:t>
      </w:r>
    </w:p>
    <w:p w14:paraId="1FD6D3CC" w14:textId="77777777" w:rsidR="00F26B70" w:rsidRPr="00F26B70" w:rsidRDefault="00F26B70" w:rsidP="00F26B70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26B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Claudia Cristina de Aguiar Pereira</w:t>
      </w:r>
      <w:r w:rsidRPr="00F26B70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2</w:t>
      </w:r>
    </w:p>
    <w:p w14:paraId="0F87F7D4" w14:textId="77777777" w:rsidR="00F26B70" w:rsidRPr="00F26B70" w:rsidRDefault="00F26B70" w:rsidP="00F26B70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26B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Amanda Batista Marcelino</w:t>
      </w:r>
      <w:r w:rsidRPr="00F26B70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3</w:t>
      </w:r>
    </w:p>
    <w:p w14:paraId="5BBC53DF" w14:textId="77777777" w:rsidR="007D1F74" w:rsidRPr="00F26B70" w:rsidRDefault="007D1F74" w:rsidP="007D1F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EA6794" w14:textId="6D2D6478" w:rsidR="007D1F74" w:rsidRPr="00F26B70" w:rsidRDefault="007D1F74" w:rsidP="007D1F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744F6D" w14:textId="77777777" w:rsidR="00F26B70" w:rsidRPr="00F26B70" w:rsidRDefault="00F26B70" w:rsidP="007D1F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94833D" w14:textId="77777777" w:rsidR="007D1F74" w:rsidRPr="00F26B70" w:rsidRDefault="007D1F74" w:rsidP="007D1F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2404A5C" w14:textId="43D0416F" w:rsidR="00F26B70" w:rsidRPr="00F26B70" w:rsidRDefault="00F26B70" w:rsidP="00F26B70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F26B70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t-BR"/>
        </w:rPr>
        <w:t xml:space="preserve">1 </w:t>
      </w:r>
      <w:r w:rsidRPr="00F26B70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Doutora pela </w:t>
      </w:r>
      <w:r w:rsidRPr="00F26B7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t-BR"/>
        </w:rPr>
        <w:t xml:space="preserve">Johns Hopkins </w:t>
      </w:r>
      <w:proofErr w:type="spellStart"/>
      <w:r w:rsidRPr="00F26B7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t-BR"/>
        </w:rPr>
        <w:t>University</w:t>
      </w:r>
      <w:proofErr w:type="spellEnd"/>
      <w:r w:rsidRPr="00F26B70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, USA. </w:t>
      </w:r>
      <w:r w:rsidR="00F22E7A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Professora </w:t>
      </w:r>
      <w:r w:rsidR="00F22E7A" w:rsidRPr="00F26B70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do Departamento de Medicina Preventiva e Social – Faculdade de Medicina da Universidade Federal de Minas Gerais - UFMG</w:t>
      </w:r>
      <w:r w:rsidRPr="00F26B70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.</w:t>
      </w:r>
      <w:r w:rsidRPr="00F26B70">
        <w:rPr>
          <w:rFonts w:ascii="Times New Roman" w:hAnsi="Times New Roman" w:cs="Times New Roman"/>
          <w:sz w:val="20"/>
          <w:szCs w:val="20"/>
        </w:rPr>
        <w:t xml:space="preserve"> </w:t>
      </w:r>
      <w:r w:rsidRPr="00F26B7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 w:rsidRPr="00F26B70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E-mail: </w:t>
      </w:r>
      <w:hyperlink r:id="rId8" w:history="1">
        <w:r w:rsidRPr="00F26B70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pt-BR"/>
          </w:rPr>
          <w:t>carlajmachado@gmail.com</w:t>
        </w:r>
      </w:hyperlink>
    </w:p>
    <w:p w14:paraId="67717F57" w14:textId="714C5EA8" w:rsidR="00F26B70" w:rsidRPr="00F26B70" w:rsidRDefault="00F26B70" w:rsidP="00F26B70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26B70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t-BR"/>
        </w:rPr>
        <w:t xml:space="preserve">2 </w:t>
      </w:r>
      <w:r w:rsidRPr="00F26B70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Doutora pela </w:t>
      </w:r>
      <w:proofErr w:type="spellStart"/>
      <w:r w:rsidRPr="00F26B7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t-BR"/>
        </w:rPr>
        <w:t>University</w:t>
      </w:r>
      <w:proofErr w:type="spellEnd"/>
      <w:r w:rsidRPr="00F26B7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t-BR"/>
        </w:rPr>
        <w:t xml:space="preserve"> </w:t>
      </w:r>
      <w:proofErr w:type="spellStart"/>
      <w:r w:rsidRPr="00F26B7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t-BR"/>
        </w:rPr>
        <w:t>of</w:t>
      </w:r>
      <w:proofErr w:type="spellEnd"/>
      <w:r w:rsidRPr="00F26B7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t-BR"/>
        </w:rPr>
        <w:t xml:space="preserve"> Wisconsin</w:t>
      </w:r>
      <w:r w:rsidRPr="00F26B70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, USA. </w:t>
      </w:r>
      <w:r w:rsidR="00F22E7A" w:rsidRPr="00F26B70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Pesquisadora do Departamento de Administração e Planejamento em Saúde - Escola Nacional de Saúde Pública Sergio Arouca, Fundação Oswaldo Cruz – ENSP-Fiocruz</w:t>
      </w:r>
      <w:r w:rsidRPr="00F26B70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. E</w:t>
      </w:r>
      <w:r w:rsidRPr="00F26B70">
        <w:rPr>
          <w:rFonts w:ascii="Times New Roman" w:hAnsi="Times New Roman" w:cs="Times New Roman"/>
          <w:sz w:val="20"/>
          <w:szCs w:val="20"/>
        </w:rPr>
        <w:t xml:space="preserve">-mail: </w:t>
      </w:r>
      <w:hyperlink r:id="rId9" w:history="1">
        <w:r w:rsidRPr="00F26B70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pt-BR"/>
          </w:rPr>
          <w:t>pereirac.claudia@gmail.com</w:t>
        </w:r>
      </w:hyperlink>
      <w:r w:rsidRPr="00F26B7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</w:p>
    <w:p w14:paraId="3E8BE72C" w14:textId="1A0F1435" w:rsidR="007D1F74" w:rsidRPr="00F26B70" w:rsidRDefault="00F26B70" w:rsidP="00F26B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26B70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t-BR"/>
        </w:rPr>
        <w:t>3</w:t>
      </w:r>
      <w:r w:rsidR="00F22E7A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</w:t>
      </w:r>
      <w:r w:rsidR="00F22E7A" w:rsidRPr="00F26B70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Bacharel em Administração pela Pontifícia Universidade Católica de Minas - PUC/Minas. Pesquisadora do Núcleo de Promoção de Saúde </w:t>
      </w:r>
      <w:r w:rsidR="00F22E7A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e </w:t>
      </w:r>
      <w:r w:rsidR="00F22E7A" w:rsidRPr="00F26B70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Paz da Faculdade de Medicina da Universidade Federal de Minas Gerais – UFMG</w:t>
      </w:r>
      <w:r w:rsidR="00F22E7A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. </w:t>
      </w:r>
      <w:r w:rsidRPr="00F26B70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10" w:history="1">
        <w:r w:rsidRPr="00F26B70">
          <w:rPr>
            <w:rStyle w:val="Hyperlink"/>
            <w:rFonts w:ascii="Times New Roman" w:hAnsi="Times New Roman" w:cs="Times New Roman"/>
            <w:sz w:val="20"/>
            <w:szCs w:val="20"/>
          </w:rPr>
          <w:t>dudamarcelino@gmail.com</w:t>
        </w:r>
      </w:hyperlink>
    </w:p>
    <w:p w14:paraId="183063A5" w14:textId="77777777" w:rsidR="007D1F74" w:rsidRPr="00F26B70" w:rsidRDefault="007D1F74" w:rsidP="007D1F74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6EA7E56" w14:textId="7777777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28939" w14:textId="6617B793" w:rsidR="00F26B70" w:rsidRPr="00F26B70" w:rsidRDefault="00F26B70" w:rsidP="00F26B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B70">
        <w:rPr>
          <w:rFonts w:ascii="Times New Roman" w:hAnsi="Times New Roman" w:cs="Times New Roman"/>
          <w:sz w:val="24"/>
          <w:szCs w:val="24"/>
        </w:rPr>
        <w:lastRenderedPageBreak/>
        <w:t>A pandemia de COVID-19 transformou o mundo do trabalho. Enquanto o número de infecções por SARS-CoV-2 continua a aumentar em muitas partes do mundo, alguns países estão agora se preparando para sustentar taxas decrescentes e reativar suas economias. Governos, empregadores e trabalhadores e suas respectivas organizações possuem um papel fundamental a desempenhar para um retorno seguro ao trabalho. Isso requer cooperação e ação coordenada, pois práticas inseguras de trabalho representam ameaça à saúde</w:t>
      </w:r>
      <w:r w:rsidRPr="00F26B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26B70">
        <w:rPr>
          <w:rFonts w:ascii="Times New Roman" w:hAnsi="Times New Roman" w:cs="Times New Roman"/>
          <w:sz w:val="24"/>
          <w:szCs w:val="24"/>
        </w:rPr>
        <w:t>. Alguns países emitiram orientações nacionais visando um retorno seguro ao trabalho. Para a reativação de economias de modo sustentável, os trabalhadores precisam se sentir seguros em seus locais de trabalho</w:t>
      </w:r>
      <w:r w:rsidRPr="00F26B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26B70">
        <w:rPr>
          <w:rFonts w:ascii="Times New Roman" w:hAnsi="Times New Roman" w:cs="Times New Roman"/>
          <w:sz w:val="24"/>
          <w:szCs w:val="24"/>
        </w:rPr>
        <w:t>.</w:t>
      </w:r>
    </w:p>
    <w:p w14:paraId="7A7742CB" w14:textId="7777777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70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F26B70">
        <w:rPr>
          <w:rFonts w:ascii="Times New Roman" w:hAnsi="Times New Roman" w:cs="Times New Roman"/>
          <w:i/>
          <w:sz w:val="24"/>
          <w:szCs w:val="24"/>
        </w:rPr>
        <w:t>e-book</w:t>
      </w:r>
      <w:r w:rsidRPr="00F26B70">
        <w:rPr>
          <w:rFonts w:ascii="Times New Roman" w:hAnsi="Times New Roman" w:cs="Times New Roman"/>
          <w:sz w:val="24"/>
          <w:szCs w:val="24"/>
        </w:rPr>
        <w:t xml:space="preserve"> Protocolo </w:t>
      </w:r>
      <w:proofErr w:type="spellStart"/>
      <w:r w:rsidRPr="00F26B70">
        <w:rPr>
          <w:rFonts w:ascii="Times New Roman" w:hAnsi="Times New Roman" w:cs="Times New Roman"/>
          <w:sz w:val="24"/>
          <w:szCs w:val="24"/>
        </w:rPr>
        <w:t>Covid-Free</w:t>
      </w:r>
      <w:proofErr w:type="spellEnd"/>
      <w:r w:rsidRPr="00F26B70">
        <w:rPr>
          <w:rFonts w:ascii="Times New Roman" w:hAnsi="Times New Roman" w:cs="Times New Roman"/>
          <w:sz w:val="24"/>
          <w:szCs w:val="24"/>
        </w:rPr>
        <w:t>, elaborado pela Confederação Nacional de Turismo (</w:t>
      </w:r>
      <w:proofErr w:type="spellStart"/>
      <w:r w:rsidRPr="00F26B70">
        <w:rPr>
          <w:rFonts w:ascii="Times New Roman" w:hAnsi="Times New Roman" w:cs="Times New Roman"/>
          <w:sz w:val="24"/>
          <w:szCs w:val="24"/>
        </w:rPr>
        <w:t>CNTur</w:t>
      </w:r>
      <w:proofErr w:type="spellEnd"/>
      <w:r w:rsidRPr="00F26B70">
        <w:rPr>
          <w:rFonts w:ascii="Times New Roman" w:hAnsi="Times New Roman" w:cs="Times New Roman"/>
          <w:sz w:val="24"/>
          <w:szCs w:val="24"/>
        </w:rPr>
        <w:t xml:space="preserve">) é uma iniciativa brasileira que caminha no sentido de prover orientações aos trabalhadores de bares, </w:t>
      </w:r>
      <w:proofErr w:type="spellStart"/>
      <w:r w:rsidRPr="00F26B70">
        <w:rPr>
          <w:rFonts w:ascii="Times New Roman" w:hAnsi="Times New Roman" w:cs="Times New Roman"/>
          <w:sz w:val="24"/>
          <w:szCs w:val="24"/>
        </w:rPr>
        <w:t>hóteis</w:t>
      </w:r>
      <w:proofErr w:type="spellEnd"/>
      <w:r w:rsidRPr="00F26B70">
        <w:rPr>
          <w:rFonts w:ascii="Times New Roman" w:hAnsi="Times New Roman" w:cs="Times New Roman"/>
          <w:sz w:val="24"/>
          <w:szCs w:val="24"/>
        </w:rPr>
        <w:t>, restaurantes e similares</w:t>
      </w:r>
      <w:r w:rsidRPr="00F26B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26B70">
        <w:rPr>
          <w:rFonts w:ascii="Times New Roman" w:hAnsi="Times New Roman" w:cs="Times New Roman"/>
          <w:sz w:val="24"/>
          <w:szCs w:val="24"/>
        </w:rPr>
        <w:t xml:space="preserve">. Trata-se de um conjunto de recomendações higiênicas e sanitárias e, segundo os organizadores, trata-se de material o mais completo produzido até agora na literatura brasileira, que teve a contribuição de especialistas de diversas áreas. </w:t>
      </w:r>
    </w:p>
    <w:p w14:paraId="4C4A65F3" w14:textId="7777777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70">
        <w:rPr>
          <w:rFonts w:ascii="Times New Roman" w:hAnsi="Times New Roman" w:cs="Times New Roman"/>
          <w:sz w:val="24"/>
          <w:szCs w:val="24"/>
        </w:rPr>
        <w:tab/>
        <w:t xml:space="preserve">O Capítulo 1 –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Hotéis e meios de hospedagem</w:t>
      </w:r>
      <w:r w:rsidRPr="00F26B70">
        <w:rPr>
          <w:rFonts w:ascii="Times New Roman" w:hAnsi="Times New Roman" w:cs="Times New Roman"/>
          <w:sz w:val="24"/>
          <w:szCs w:val="24"/>
        </w:rPr>
        <w:t xml:space="preserve"> – consta de 24 itens. Trata do uso de máscara pelos trabalhadores (chamados com frequência no texto de colaboradores), limpeza e higienização dos quartos, normas para alimentação, ventilação dos quartos, situações gerais e específicas para o uso de álcool em gel e fechamento de espaços para reuniões, que só poderão ser reabertos após a pandemia.</w:t>
      </w:r>
    </w:p>
    <w:p w14:paraId="5D35ED06" w14:textId="7777777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70">
        <w:rPr>
          <w:rFonts w:ascii="Times New Roman" w:hAnsi="Times New Roman" w:cs="Times New Roman"/>
          <w:sz w:val="24"/>
          <w:szCs w:val="24"/>
        </w:rPr>
        <w:tab/>
        <w:t xml:space="preserve">O Capítulo 2, denominado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Bares, restaurantes e similares</w:t>
      </w:r>
      <w:r w:rsidRPr="00F26B70">
        <w:rPr>
          <w:rFonts w:ascii="Times New Roman" w:hAnsi="Times New Roman" w:cs="Times New Roman"/>
          <w:sz w:val="24"/>
          <w:szCs w:val="24"/>
        </w:rPr>
        <w:t xml:space="preserve">, consta de seis sub capítulos. O sub capítulo 2.1, com 27 itens,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Adequação das instalações</w:t>
      </w:r>
      <w:r w:rsidRPr="00F26B70">
        <w:rPr>
          <w:rFonts w:ascii="Times New Roman" w:hAnsi="Times New Roman" w:cs="Times New Roman"/>
          <w:sz w:val="24"/>
          <w:szCs w:val="24"/>
        </w:rPr>
        <w:t xml:space="preserve">, aborda o espaçamento entre as mesas, o uso do álcool em gel, e as opções de oferecimento dos alimentos e talheres. Chama a atenção as opções que são dadas para a disposição e entrega de alimentos, mesmo em caso de bufê, que podem ser embalados separadamente, ou alternativamente, servidos pelos trabalhadores e não pelo público. O sub capítulo 2.2,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Procedimento e orientações aos colaboradores</w:t>
      </w:r>
      <w:r w:rsidRPr="00F26B70">
        <w:rPr>
          <w:rFonts w:ascii="Times New Roman" w:hAnsi="Times New Roman" w:cs="Times New Roman"/>
          <w:sz w:val="24"/>
          <w:szCs w:val="24"/>
        </w:rPr>
        <w:t xml:space="preserve">, com 18 itens, repete algumas recomendações já citadas, tratando ainda do uso e manuseio dos uniformes e condutas ao sair e chegar da residência. Mas, vai além, por priorizar condutas que fortalecem o espírito de equipe, com a ideia de reuniões diárias.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Orientações para os clientes</w:t>
      </w:r>
      <w:r w:rsidRPr="00F26B70">
        <w:rPr>
          <w:rFonts w:ascii="Times New Roman" w:hAnsi="Times New Roman" w:cs="Times New Roman"/>
          <w:sz w:val="24"/>
          <w:szCs w:val="24"/>
        </w:rPr>
        <w:t xml:space="preserve"> é o sub capítulo 2.3, e enfatiza a necessidade de comunicar de forma clara aos clientes as recomendações de boas práticas e seguranças, sendo </w:t>
      </w:r>
      <w:proofErr w:type="spellStart"/>
      <w:r w:rsidRPr="00F26B70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F26B70">
        <w:rPr>
          <w:rFonts w:ascii="Times New Roman" w:hAnsi="Times New Roman" w:cs="Times New Roman"/>
          <w:sz w:val="24"/>
          <w:szCs w:val="24"/>
        </w:rPr>
        <w:t xml:space="preserve"> a maior virtude do sub capítulo, que está constituído por oito itens. Já 2.4 trata de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 xml:space="preserve">Informações específicas para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lastRenderedPageBreak/>
        <w:t>utensílios</w:t>
      </w:r>
      <w:r w:rsidRPr="00F26B70">
        <w:rPr>
          <w:rFonts w:ascii="Times New Roman" w:hAnsi="Times New Roman" w:cs="Times New Roman"/>
          <w:sz w:val="24"/>
          <w:szCs w:val="24"/>
        </w:rPr>
        <w:t>, com ênfase na proteção dos alimentos – que devem ser tampados sempre que possível – talheres e formas de lavagem de louças, e consta de 11 itens. Os sub capítulos 2.5 (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Sobre o pagamento</w:t>
      </w:r>
      <w:r w:rsidRPr="00F26B70">
        <w:rPr>
          <w:rFonts w:ascii="Times New Roman" w:hAnsi="Times New Roman" w:cs="Times New Roman"/>
          <w:sz w:val="24"/>
          <w:szCs w:val="24"/>
        </w:rPr>
        <w:t>) e 2.6 (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Entregadores Delivery</w:t>
      </w:r>
      <w:r w:rsidRPr="00F26B70">
        <w:rPr>
          <w:rFonts w:ascii="Times New Roman" w:hAnsi="Times New Roman" w:cs="Times New Roman"/>
          <w:sz w:val="24"/>
          <w:szCs w:val="24"/>
        </w:rPr>
        <w:t xml:space="preserve">) encerram o Capítulo 2.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Sobre o pagamento</w:t>
      </w:r>
      <w:r w:rsidRPr="00F26B70">
        <w:rPr>
          <w:rFonts w:ascii="Times New Roman" w:hAnsi="Times New Roman" w:cs="Times New Roman"/>
          <w:sz w:val="24"/>
          <w:szCs w:val="24"/>
        </w:rPr>
        <w:t xml:space="preserve">, com cinco itens, trata basicamente das barreiras físicas e distanciamento e entre aquele que paga e aquele que recebe, mas não dá a devida atenção ao pagamento feito em espécie – o que requereria outras explicações de manuseio, que não são informadas. Contudo, esse problema é em parte redimido em um item de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Entregadores Delivery</w:t>
      </w:r>
      <w:r w:rsidRPr="00F26B70">
        <w:rPr>
          <w:rFonts w:ascii="Times New Roman" w:hAnsi="Times New Roman" w:cs="Times New Roman"/>
          <w:sz w:val="24"/>
          <w:szCs w:val="24"/>
        </w:rPr>
        <w:t>, onde se lê: “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combine com o cliente pagamento online. Se não for possível, coloque o troco em saquinhos</w:t>
      </w:r>
      <w:r w:rsidRPr="00F26B70">
        <w:rPr>
          <w:rFonts w:ascii="Times New Roman" w:hAnsi="Times New Roman" w:cs="Times New Roman"/>
          <w:sz w:val="24"/>
          <w:szCs w:val="24"/>
        </w:rPr>
        <w:t>” (p. 22)</w:t>
      </w:r>
      <w:r w:rsidRPr="00F26B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26B70">
        <w:rPr>
          <w:rFonts w:ascii="Times New Roman" w:hAnsi="Times New Roman" w:cs="Times New Roman"/>
          <w:sz w:val="24"/>
          <w:szCs w:val="24"/>
        </w:rPr>
        <w:t>. Esse item também trata das obrigações das empresas terceirizadas de entrega frente aos seus funcionários, como a necessidade de fornecimento de máscaras e de afastamento de colaboradores com sintomas de COVID-19.</w:t>
      </w:r>
    </w:p>
    <w:p w14:paraId="78D2DF89" w14:textId="7777777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70">
        <w:rPr>
          <w:rFonts w:ascii="Times New Roman" w:hAnsi="Times New Roman" w:cs="Times New Roman"/>
          <w:sz w:val="24"/>
          <w:szCs w:val="24"/>
        </w:rPr>
        <w:tab/>
        <w:t xml:space="preserve">O Capítulo 3 –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Turismo e Evento</w:t>
      </w:r>
      <w:r w:rsidRPr="00F26B70">
        <w:rPr>
          <w:rFonts w:ascii="Times New Roman" w:hAnsi="Times New Roman" w:cs="Times New Roman"/>
          <w:sz w:val="24"/>
          <w:szCs w:val="24"/>
        </w:rPr>
        <w:t xml:space="preserve">s– abarca quatro sub capítulos. Os dois primeiros, (3.1.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Para colaboradores</w:t>
      </w:r>
      <w:r w:rsidRPr="00F26B70">
        <w:rPr>
          <w:rFonts w:ascii="Times New Roman" w:hAnsi="Times New Roman" w:cs="Times New Roman"/>
          <w:sz w:val="24"/>
          <w:szCs w:val="24"/>
        </w:rPr>
        <w:t xml:space="preserve">; 3.2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Para clientes</w:t>
      </w:r>
      <w:r w:rsidRPr="00F26B70">
        <w:rPr>
          <w:rFonts w:ascii="Times New Roman" w:hAnsi="Times New Roman" w:cs="Times New Roman"/>
          <w:sz w:val="24"/>
          <w:szCs w:val="24"/>
        </w:rPr>
        <w:t xml:space="preserve">) constam de um item cada, sendo que, em,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Para colaboradores</w:t>
      </w:r>
      <w:r w:rsidRPr="00F26B70">
        <w:rPr>
          <w:rFonts w:ascii="Times New Roman" w:hAnsi="Times New Roman" w:cs="Times New Roman"/>
          <w:sz w:val="24"/>
          <w:szCs w:val="24"/>
        </w:rPr>
        <w:t>, lê-se: “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treinamento de protocolos de fornecedores: receber dos fornecedores (companhias aéreas, hotéis, cruzeiros, aeroportos, parques, etc.) treinamento constante sobre seus produtos</w:t>
      </w:r>
      <w:r w:rsidRPr="00F26B70">
        <w:rPr>
          <w:rFonts w:ascii="Times New Roman" w:hAnsi="Times New Roman" w:cs="Times New Roman"/>
          <w:sz w:val="24"/>
          <w:szCs w:val="24"/>
        </w:rPr>
        <w:t>” (p. 23)</w:t>
      </w:r>
      <w:r w:rsidRPr="00F26B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26B70">
        <w:rPr>
          <w:rFonts w:ascii="Times New Roman" w:hAnsi="Times New Roman" w:cs="Times New Roman"/>
          <w:sz w:val="24"/>
          <w:szCs w:val="24"/>
        </w:rPr>
        <w:t xml:space="preserve">. Já em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Para clientes</w:t>
      </w:r>
      <w:r w:rsidRPr="00F26B70">
        <w:rPr>
          <w:rFonts w:ascii="Times New Roman" w:hAnsi="Times New Roman" w:cs="Times New Roman"/>
          <w:sz w:val="24"/>
          <w:szCs w:val="24"/>
        </w:rPr>
        <w:t>: “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fornecer ao cliente informações sobre os protocolos dos destinos e fornecedores envolvidos na viagem adquirida</w:t>
      </w:r>
      <w:r w:rsidRPr="00F26B70">
        <w:rPr>
          <w:rFonts w:ascii="Times New Roman" w:hAnsi="Times New Roman" w:cs="Times New Roman"/>
          <w:sz w:val="24"/>
          <w:szCs w:val="24"/>
        </w:rPr>
        <w:t>” (p.24)</w:t>
      </w:r>
      <w:r w:rsidRPr="00F26B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26B70">
        <w:rPr>
          <w:rFonts w:ascii="Times New Roman" w:hAnsi="Times New Roman" w:cs="Times New Roman"/>
          <w:sz w:val="24"/>
          <w:szCs w:val="24"/>
        </w:rPr>
        <w:t xml:space="preserve">. Ou seja, a visão central nesses dois sub capítulos é de comunicar e prover a mensagem da melhor forma possível. O sub capítulo seguinte 3.3, denominado </w:t>
      </w:r>
      <w:r w:rsidRPr="00F26B70">
        <w:rPr>
          <w:rFonts w:ascii="Times New Roman" w:hAnsi="Times New Roman" w:cs="Times New Roman"/>
          <w:i/>
          <w:sz w:val="24"/>
          <w:szCs w:val="24"/>
        </w:rPr>
        <w:t xml:space="preserve">Para </w:t>
      </w:r>
      <w:proofErr w:type="spellStart"/>
      <w:r w:rsidRPr="00F26B70">
        <w:rPr>
          <w:rFonts w:ascii="Times New Roman" w:hAnsi="Times New Roman" w:cs="Times New Roman"/>
          <w:i/>
          <w:sz w:val="24"/>
          <w:szCs w:val="24"/>
        </w:rPr>
        <w:t>Venues</w:t>
      </w:r>
      <w:proofErr w:type="spellEnd"/>
      <w:r w:rsidRPr="00F26B70">
        <w:rPr>
          <w:rFonts w:ascii="Times New Roman" w:hAnsi="Times New Roman" w:cs="Times New Roman"/>
          <w:i/>
          <w:sz w:val="24"/>
          <w:szCs w:val="24"/>
        </w:rPr>
        <w:t xml:space="preserve">, organizadores de eventos e prestadores de serviços para eventos, </w:t>
      </w:r>
      <w:r w:rsidRPr="00F26B70">
        <w:rPr>
          <w:rFonts w:ascii="Times New Roman" w:hAnsi="Times New Roman" w:cs="Times New Roman"/>
          <w:sz w:val="24"/>
          <w:szCs w:val="24"/>
        </w:rPr>
        <w:t xml:space="preserve">com 13 itens, trata das adequações a serem feitas ao se realizar um evento. Reforça que, medidas de distanciamento, higienização e circulação devem ser rigorosas que se deve evitar atividades promocionais. Enfatiza, ainda, a proibição da oferta de bebidas e alimentos. Sugere-se que a comunicação durante a realização do evento, deve ser feita prioritariamente por meio de aplicativo e que o contato dos participantes deve ser armazenado por pelo menos um mês após realização do evento. O sub capítulo 3.4 </w:t>
      </w:r>
      <w:r w:rsidRPr="00F26B70">
        <w:rPr>
          <w:rFonts w:ascii="Times New Roman" w:hAnsi="Times New Roman" w:cs="Times New Roman"/>
          <w:i/>
          <w:sz w:val="24"/>
          <w:szCs w:val="24"/>
        </w:rPr>
        <w:t>Na alimentação</w:t>
      </w:r>
      <w:r w:rsidRPr="00F26B70">
        <w:rPr>
          <w:rFonts w:ascii="Times New Roman" w:hAnsi="Times New Roman" w:cs="Times New Roman"/>
          <w:sz w:val="24"/>
          <w:szCs w:val="24"/>
        </w:rPr>
        <w:t xml:space="preserve"> encerra o capítulo 3 e repete recomendações já citadas acerca dos cuidados com o bufê, higienização e enfatiza o uso de protetores acrílicos para separação dos clientes dos alimentos, e dos funcionários que servem os alimentos.</w:t>
      </w:r>
    </w:p>
    <w:p w14:paraId="4CD67B3D" w14:textId="7777777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70">
        <w:rPr>
          <w:rFonts w:ascii="Times New Roman" w:hAnsi="Times New Roman" w:cs="Times New Roman"/>
          <w:sz w:val="24"/>
          <w:szCs w:val="24"/>
        </w:rPr>
        <w:tab/>
        <w:t xml:space="preserve">O Capítulo 4 denominado </w:t>
      </w:r>
      <w:r w:rsidRPr="00F26B70">
        <w:rPr>
          <w:rFonts w:ascii="Times New Roman" w:hAnsi="Times New Roman" w:cs="Times New Roman"/>
          <w:i/>
          <w:sz w:val="24"/>
          <w:szCs w:val="24"/>
        </w:rPr>
        <w:t>Orientação Jurídica (equipamento de proteção individual)</w:t>
      </w:r>
      <w:r w:rsidRPr="00F26B70">
        <w:rPr>
          <w:rFonts w:ascii="Times New Roman" w:hAnsi="Times New Roman" w:cs="Times New Roman"/>
          <w:sz w:val="24"/>
          <w:szCs w:val="24"/>
        </w:rPr>
        <w:t xml:space="preserve"> trata do fornecimento dos equipamentos de proteção individual ao empregado, dispondo que, o fornecimento gratuito e a fiscalização do uso, são de responsabilidade da empresa/empregador.</w:t>
      </w:r>
    </w:p>
    <w:p w14:paraId="5B429F5C" w14:textId="7777777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7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Os Capítulos 5 e 6 tratam da higiene. O Capítulo 5 – </w:t>
      </w:r>
      <w:r w:rsidRPr="00F26B70">
        <w:rPr>
          <w:rFonts w:ascii="Times New Roman" w:hAnsi="Times New Roman" w:cs="Times New Roman"/>
          <w:i/>
          <w:sz w:val="24"/>
          <w:szCs w:val="24"/>
        </w:rPr>
        <w:t xml:space="preserve">Orientações de higiene e prevenção à saúde – </w:t>
      </w:r>
      <w:r w:rsidRPr="00F26B70">
        <w:rPr>
          <w:rFonts w:ascii="Times New Roman" w:hAnsi="Times New Roman" w:cs="Times New Roman"/>
          <w:sz w:val="24"/>
          <w:szCs w:val="24"/>
        </w:rPr>
        <w:t xml:space="preserve">aborda cuidados individuais necessários. Detalham-se orientações acerca da correta maneira de se lavarem das mãos. Indica o distanciamento social de dois metros, recomendando a etiqueta social de cuidado com os outro, orientando cobrir a boca e nariz e ao tossir ou espirrar. Ressalta que, devem ser evitados toques desnecessários no rosto e não se deve ter contato físico com outras pessoas. Contudo, deve-se manter a cordialidade. O Capítulo 6, denominado </w:t>
      </w:r>
      <w:r w:rsidRPr="00F26B70">
        <w:rPr>
          <w:rFonts w:ascii="Times New Roman" w:hAnsi="Times New Roman" w:cs="Times New Roman"/>
          <w:i/>
          <w:sz w:val="24"/>
          <w:szCs w:val="24"/>
        </w:rPr>
        <w:t>A importância da higiene das mãos!</w:t>
      </w:r>
      <w:r w:rsidRPr="00F26B70">
        <w:rPr>
          <w:rFonts w:ascii="Times New Roman" w:hAnsi="Times New Roman" w:cs="Times New Roman"/>
          <w:sz w:val="24"/>
          <w:szCs w:val="24"/>
        </w:rPr>
        <w:t xml:space="preserve"> Reforça de forma ilustrativa, como deve ocorrer a correta higienização das mãos tanto com o álcool em gel ou água e sabonete.</w:t>
      </w:r>
    </w:p>
    <w:p w14:paraId="25E88236" w14:textId="7777777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70">
        <w:rPr>
          <w:rFonts w:ascii="Times New Roman" w:hAnsi="Times New Roman" w:cs="Times New Roman"/>
          <w:sz w:val="24"/>
          <w:szCs w:val="24"/>
        </w:rPr>
        <w:tab/>
        <w:t xml:space="preserve">O Capítulo 7 – </w:t>
      </w:r>
      <w:r w:rsidRPr="00F26B70">
        <w:rPr>
          <w:rFonts w:ascii="Times New Roman" w:hAnsi="Times New Roman" w:cs="Times New Roman"/>
          <w:i/>
          <w:sz w:val="24"/>
          <w:szCs w:val="24"/>
        </w:rPr>
        <w:t>Use a máscara facial corretamente</w:t>
      </w:r>
      <w:r w:rsidRPr="00F26B70">
        <w:rPr>
          <w:rFonts w:ascii="Times New Roman" w:hAnsi="Times New Roman" w:cs="Times New Roman"/>
          <w:sz w:val="24"/>
          <w:szCs w:val="24"/>
        </w:rPr>
        <w:t xml:space="preserve"> – sintetiza informações sobre o correto uso e higienização de mascarás e protetores faciais. O primeiro item denominado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Atenção na hora de colocar a máscara</w:t>
      </w:r>
      <w:r w:rsidRPr="00F26B70">
        <w:rPr>
          <w:rFonts w:ascii="Times New Roman" w:hAnsi="Times New Roman" w:cs="Times New Roman"/>
          <w:sz w:val="24"/>
          <w:szCs w:val="24"/>
        </w:rPr>
        <w:t xml:space="preserve">, traz orientações sobre o correto uso e manuseio deste item e ressalta a importância que a boca e nariz estejam totalmente cobertos. O segundo item - Tempo de uso e higienização das máscaras – aborda os tipos de máscaras disponíveis no mercado. Aponta que existem máscaras destinadas ao uso pelos profissionais de saúde e, máscaras que são indicadas à população em geral. O capítulo orienta ainda sobre a forma correta de higienização destes itens, detalhando o seu correto manuseio e tempo ideal de uso. Destaca-se a utilização do protetor tipo visor que, em seu uso, atua como protetor salivar, protegendo os alimentos de contaminação. O terceiro e último item denominado </w:t>
      </w:r>
      <w:r w:rsidRPr="00F26B70">
        <w:rPr>
          <w:rFonts w:ascii="Times New Roman" w:hAnsi="Times New Roman" w:cs="Times New Roman"/>
          <w:i/>
          <w:iCs/>
          <w:sz w:val="24"/>
          <w:szCs w:val="24"/>
        </w:rPr>
        <w:t>Indicação para uso dos visores/máscaras</w:t>
      </w:r>
      <w:r w:rsidRPr="00F26B70">
        <w:rPr>
          <w:rFonts w:ascii="Times New Roman" w:hAnsi="Times New Roman" w:cs="Times New Roman"/>
          <w:sz w:val="24"/>
          <w:szCs w:val="24"/>
        </w:rPr>
        <w:t xml:space="preserve"> – trata sobre quem deve fazer uso das máscaras. Portanto, o protocolo visa orientar e repassar ações higiênicas e sanitárias a serem executadas para que, as atividades possam ser retomadas de forma segura, o que fará parte da nova normalidade.</w:t>
      </w:r>
    </w:p>
    <w:p w14:paraId="63D819C5" w14:textId="7777777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70">
        <w:rPr>
          <w:rFonts w:ascii="Times New Roman" w:hAnsi="Times New Roman" w:cs="Times New Roman"/>
          <w:sz w:val="24"/>
          <w:szCs w:val="24"/>
        </w:rPr>
        <w:tab/>
        <w:t>A obra é acompanhada de várias ilustrações para tornar o conteúdo mais próximo dos leitores. Documentos oficiais são citados, mas a obra carece de uma lista final de referências para facilitar a consulta. Ressalta-se que não se trata de uma publicação com recomendações governamentais oficiais como, por exemplo, as que foram divulgadas pelo governo escocês</w:t>
      </w:r>
      <w:r w:rsidRPr="00F26B70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F26B70">
        <w:rPr>
          <w:rFonts w:ascii="Times New Roman" w:hAnsi="Times New Roman" w:cs="Times New Roman"/>
          <w:sz w:val="24"/>
          <w:szCs w:val="24"/>
        </w:rPr>
        <w:t xml:space="preserve">. Por fim, sugere-se que o material seja atualizado com frequência frente aos novos desafios constantes impostos pela pandemia, principalmente aos setores da economia abordados. Por fim, recomenda-se que outros públicos conheçam a obra, principalmente os usuários dos serviços de hospitalidade e alimentação em geral. </w:t>
      </w:r>
    </w:p>
    <w:p w14:paraId="746197B2" w14:textId="7777777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7D6E9" w14:textId="77777777" w:rsidR="00F26B70" w:rsidRPr="00F22E7A" w:rsidRDefault="00F26B70" w:rsidP="00F26B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74EC3" w14:textId="77777777" w:rsidR="00F26B70" w:rsidRPr="00F22E7A" w:rsidRDefault="00F26B70" w:rsidP="00F26B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E0840" w14:textId="77777777" w:rsidR="000B3AA1" w:rsidRPr="00F22E7A" w:rsidRDefault="000B3AA1" w:rsidP="00F26B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56E8A" w14:textId="3773A49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26B70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REFERÊNCIAS</w:t>
      </w:r>
    </w:p>
    <w:p w14:paraId="06EC6F39" w14:textId="77777777" w:rsidR="000B3AA1" w:rsidRDefault="000B3AA1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50455770"/>
    </w:p>
    <w:p w14:paraId="22283102" w14:textId="0A7A0A5E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B70">
        <w:rPr>
          <w:rFonts w:ascii="Times New Roman" w:hAnsi="Times New Roman" w:cs="Times New Roman"/>
          <w:sz w:val="24"/>
          <w:szCs w:val="24"/>
          <w:lang w:val="en-US"/>
        </w:rPr>
        <w:t xml:space="preserve">1 – </w:t>
      </w:r>
      <w:proofErr w:type="spellStart"/>
      <w:r w:rsidRPr="00F26B70">
        <w:rPr>
          <w:rFonts w:ascii="Times New Roman" w:hAnsi="Times New Roman" w:cs="Times New Roman"/>
          <w:sz w:val="24"/>
          <w:szCs w:val="24"/>
          <w:lang w:val="en-US"/>
        </w:rPr>
        <w:t>Basu</w:t>
      </w:r>
      <w:proofErr w:type="spellEnd"/>
      <w:r w:rsidRPr="00F26B70">
        <w:rPr>
          <w:rFonts w:ascii="Times New Roman" w:hAnsi="Times New Roman" w:cs="Times New Roman"/>
          <w:sz w:val="24"/>
          <w:szCs w:val="24"/>
          <w:lang w:val="en-US"/>
        </w:rPr>
        <w:t xml:space="preserve"> S, Baster K, </w:t>
      </w:r>
      <w:proofErr w:type="spellStart"/>
      <w:r w:rsidRPr="00F26B70">
        <w:rPr>
          <w:rFonts w:ascii="Times New Roman" w:hAnsi="Times New Roman" w:cs="Times New Roman"/>
          <w:sz w:val="24"/>
          <w:szCs w:val="24"/>
          <w:lang w:val="en-US"/>
        </w:rPr>
        <w:t>Giri</w:t>
      </w:r>
      <w:proofErr w:type="spellEnd"/>
      <w:r w:rsidRPr="00F26B70">
        <w:rPr>
          <w:rFonts w:ascii="Times New Roman" w:hAnsi="Times New Roman" w:cs="Times New Roman"/>
          <w:sz w:val="24"/>
          <w:szCs w:val="24"/>
          <w:lang w:val="en-US"/>
        </w:rPr>
        <w:t xml:space="preserve"> P, Getting Back to Work: Risk Assessing Personal</w:t>
      </w:r>
    </w:p>
    <w:p w14:paraId="7AECD84A" w14:textId="7777777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B70">
        <w:rPr>
          <w:rFonts w:ascii="Times New Roman" w:hAnsi="Times New Roman" w:cs="Times New Roman"/>
          <w:sz w:val="24"/>
          <w:szCs w:val="24"/>
          <w:lang w:val="en-US"/>
        </w:rPr>
        <w:t xml:space="preserve">Vulnerabilities to COVID-19, </w:t>
      </w:r>
      <w:r w:rsidRPr="00F26B70">
        <w:rPr>
          <w:rFonts w:ascii="Times New Roman" w:hAnsi="Times New Roman" w:cs="Times New Roman"/>
          <w:i/>
          <w:iCs/>
          <w:sz w:val="24"/>
          <w:szCs w:val="24"/>
          <w:lang w:val="en-US"/>
        </w:rPr>
        <w:t>Public Health</w:t>
      </w:r>
      <w:r w:rsidRPr="00F26B7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1" w:history="1">
        <w:r w:rsidRPr="00F26B7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https://doi.org/10.1016/j.puhe.2020.06.031</w:t>
        </w:r>
      </w:hyperlink>
      <w:r w:rsidRPr="00F26B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32826C" w14:textId="7777777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70">
        <w:rPr>
          <w:rFonts w:ascii="Times New Roman" w:hAnsi="Times New Roman" w:cs="Times New Roman"/>
          <w:sz w:val="24"/>
          <w:szCs w:val="24"/>
        </w:rPr>
        <w:t>2–</w:t>
      </w:r>
      <w:proofErr w:type="spellStart"/>
      <w:r w:rsidRPr="00F26B70">
        <w:rPr>
          <w:rFonts w:ascii="Times New Roman" w:hAnsi="Times New Roman" w:cs="Times New Roman"/>
          <w:sz w:val="24"/>
          <w:szCs w:val="24"/>
        </w:rPr>
        <w:t>CNTur</w:t>
      </w:r>
      <w:proofErr w:type="spellEnd"/>
      <w:r w:rsidRPr="00F26B70">
        <w:rPr>
          <w:rFonts w:ascii="Times New Roman" w:hAnsi="Times New Roman" w:cs="Times New Roman"/>
          <w:sz w:val="24"/>
          <w:szCs w:val="24"/>
        </w:rPr>
        <w:t xml:space="preserve">. Protocolos </w:t>
      </w:r>
      <w:proofErr w:type="spellStart"/>
      <w:r w:rsidRPr="00F26B70">
        <w:rPr>
          <w:rFonts w:ascii="Times New Roman" w:hAnsi="Times New Roman" w:cs="Times New Roman"/>
          <w:sz w:val="24"/>
          <w:szCs w:val="24"/>
        </w:rPr>
        <w:t>Covid-Free</w:t>
      </w:r>
      <w:proofErr w:type="spellEnd"/>
      <w:r w:rsidRPr="00F26B7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F26B70">
          <w:rPr>
            <w:rStyle w:val="Hyperlink"/>
            <w:rFonts w:ascii="Times New Roman" w:hAnsi="Times New Roman" w:cs="Times New Roman"/>
            <w:sz w:val="24"/>
            <w:szCs w:val="24"/>
          </w:rPr>
          <w:t>https://sinhoresosasco.com.br/wp-content/uploads/2020/06/E-book-Covid-Free__.pdf</w:t>
        </w:r>
      </w:hyperlink>
      <w:r w:rsidRPr="00F26B70">
        <w:rPr>
          <w:rFonts w:ascii="Times New Roman" w:hAnsi="Times New Roman" w:cs="Times New Roman"/>
          <w:sz w:val="24"/>
          <w:szCs w:val="24"/>
        </w:rPr>
        <w:t xml:space="preserve"> Acessado em 24 de junho de 2020.</w:t>
      </w:r>
    </w:p>
    <w:p w14:paraId="0BC246AC" w14:textId="77777777" w:rsidR="00F26B70" w:rsidRPr="00F26B70" w:rsidRDefault="00F26B70" w:rsidP="00F26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70">
        <w:rPr>
          <w:rFonts w:ascii="Times New Roman" w:hAnsi="Times New Roman" w:cs="Times New Roman"/>
          <w:sz w:val="24"/>
          <w:szCs w:val="24"/>
        </w:rPr>
        <w:t>3–</w:t>
      </w:r>
      <w:proofErr w:type="spellStart"/>
      <w:r w:rsidRPr="00F26B70">
        <w:rPr>
          <w:rFonts w:ascii="Times New Roman" w:hAnsi="Times New Roman" w:cs="Times New Roman"/>
          <w:sz w:val="24"/>
          <w:szCs w:val="24"/>
        </w:rPr>
        <w:t>Scottish</w:t>
      </w:r>
      <w:proofErr w:type="spellEnd"/>
      <w:r w:rsidRPr="00F2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70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F26B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6B70"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 w:rsidRPr="00F26B70">
        <w:rPr>
          <w:rFonts w:ascii="Times New Roman" w:hAnsi="Times New Roman" w:cs="Times New Roman"/>
          <w:sz w:val="24"/>
          <w:szCs w:val="24"/>
        </w:rPr>
        <w:t xml:space="preserve"> (COVID-19): </w:t>
      </w:r>
      <w:proofErr w:type="spellStart"/>
      <w:r w:rsidRPr="00F26B70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F2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7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70">
        <w:rPr>
          <w:rFonts w:ascii="Times New Roman" w:hAnsi="Times New Roman" w:cs="Times New Roman"/>
          <w:sz w:val="24"/>
          <w:szCs w:val="24"/>
        </w:rPr>
        <w:t>hospitality</w:t>
      </w:r>
      <w:proofErr w:type="spellEnd"/>
      <w:r w:rsidRPr="00F26B70">
        <w:rPr>
          <w:rFonts w:ascii="Times New Roman" w:hAnsi="Times New Roman" w:cs="Times New Roman"/>
          <w:sz w:val="24"/>
          <w:szCs w:val="24"/>
        </w:rPr>
        <w:t xml:space="preserve"> sector </w:t>
      </w:r>
      <w:proofErr w:type="spellStart"/>
      <w:r w:rsidRPr="00F26B70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Pr="00F26B7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F26B70">
          <w:rPr>
            <w:rStyle w:val="Hyperlink"/>
            <w:rFonts w:ascii="Times New Roman" w:hAnsi="Times New Roman" w:cs="Times New Roman"/>
            <w:sz w:val="24"/>
            <w:szCs w:val="24"/>
          </w:rPr>
          <w:t>https://www.gov.scot/publications/coronavirus-covid-19-tourism-and-hospitality-sector-guidance/</w:t>
        </w:r>
      </w:hyperlink>
      <w:r w:rsidRPr="00F26B70">
        <w:rPr>
          <w:rFonts w:ascii="Times New Roman" w:hAnsi="Times New Roman" w:cs="Times New Roman"/>
          <w:sz w:val="24"/>
          <w:szCs w:val="24"/>
        </w:rPr>
        <w:t xml:space="preserve"> Acessado em 24 de junho de 2020.</w:t>
      </w:r>
      <w:bookmarkEnd w:id="0"/>
    </w:p>
    <w:p w14:paraId="5356DFF1" w14:textId="77777777" w:rsidR="001D1B04" w:rsidRPr="00F26B70" w:rsidRDefault="00792149">
      <w:pPr>
        <w:rPr>
          <w:sz w:val="24"/>
          <w:szCs w:val="24"/>
        </w:rPr>
      </w:pPr>
    </w:p>
    <w:sectPr w:rsidR="001D1B04" w:rsidRPr="00F26B70" w:rsidSect="000B3AA1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20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52D2B" w14:textId="77777777" w:rsidR="00792149" w:rsidRDefault="00792149" w:rsidP="000B3AA1">
      <w:pPr>
        <w:spacing w:after="0" w:line="240" w:lineRule="auto"/>
      </w:pPr>
      <w:r>
        <w:separator/>
      </w:r>
    </w:p>
  </w:endnote>
  <w:endnote w:type="continuationSeparator" w:id="0">
    <w:p w14:paraId="29D4126A" w14:textId="77777777" w:rsidR="00792149" w:rsidRDefault="00792149" w:rsidP="000B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1462743"/>
    </w:sdtPr>
    <w:sdtEndPr/>
    <w:sdtContent>
      <w:p w14:paraId="0FC3B157" w14:textId="77777777" w:rsidR="00CB20EE" w:rsidRDefault="00792149">
        <w:pPr>
          <w:pStyle w:val="Rodap"/>
          <w:jc w:val="right"/>
        </w:pPr>
      </w:p>
      <w:p w14:paraId="6176FFF7" w14:textId="77777777" w:rsidR="00CB20EE" w:rsidRDefault="00792149">
        <w:pPr>
          <w:pStyle w:val="Rodap"/>
          <w:jc w:val="right"/>
        </w:pPr>
      </w:p>
      <w:p w14:paraId="2D468AC3" w14:textId="14FF05C6" w:rsidR="00CB20EE" w:rsidRDefault="00696236">
        <w:pPr>
          <w:pStyle w:val="Rodap"/>
          <w:tabs>
            <w:tab w:val="left" w:pos="8647"/>
          </w:tabs>
          <w:ind w:right="360"/>
        </w:pPr>
        <w:r>
          <w:rPr>
            <w:rFonts w:ascii="Times New Roman" w:hAnsi="Times New Roman" w:cs="Times New Roman"/>
            <w:sz w:val="20"/>
            <w:szCs w:val="20"/>
          </w:rPr>
          <w:t>Acesso em: www.escs.edu.br/revistacss</w:t>
        </w:r>
        <w:r>
          <w:tab/>
        </w:r>
        <w:r>
          <w:tab/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>Com. Ciências Saúde 2020;31 Suppl 1:</w:t>
        </w:r>
        <w:r w:rsidR="000B3AA1">
          <w:rPr>
            <w:rFonts w:ascii="Times New Roman" w:hAnsi="Times New Roman" w:cs="Times New Roman"/>
            <w:sz w:val="20"/>
            <w:szCs w:val="20"/>
          </w:rPr>
          <w:t>204-208</w:t>
        </w:r>
        <w:r>
          <w:rPr>
            <w:rFonts w:ascii="Times New Roman" w:hAnsi="Times New Roman" w:cs="Times New Roman"/>
            <w:sz w:val="20"/>
            <w:szCs w:val="20"/>
          </w:rPr>
          <w:t xml:space="preserve">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F40AD" w14:textId="77777777" w:rsidR="00792149" w:rsidRDefault="00792149" w:rsidP="000B3AA1">
      <w:pPr>
        <w:spacing w:after="0" w:line="240" w:lineRule="auto"/>
      </w:pPr>
      <w:r>
        <w:separator/>
      </w:r>
    </w:p>
  </w:footnote>
  <w:footnote w:type="continuationSeparator" w:id="0">
    <w:p w14:paraId="5AB0E858" w14:textId="77777777" w:rsidR="00792149" w:rsidRDefault="00792149" w:rsidP="000B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1186516418"/>
      <w:docPartObj>
        <w:docPartGallery w:val="Page Numbers (Top of Page)"/>
        <w:docPartUnique/>
      </w:docPartObj>
    </w:sdtPr>
    <w:sdtEndPr/>
    <w:sdtContent>
      <w:p w14:paraId="56A9066B" w14:textId="1111CB5B" w:rsidR="00CB20EE" w:rsidRPr="00D17CCE" w:rsidRDefault="000B3AA1" w:rsidP="00CB20EE">
        <w:pPr>
          <w:pStyle w:val="Cabealho"/>
          <w:ind w:left="-851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Machado CJ, Pereira CCA, Marcelino AB</w:t>
        </w:r>
        <w:r w:rsidR="00696236" w:rsidRPr="00D17CCE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696236" w:rsidRPr="00D17CCE">
          <w:rPr>
            <w:rFonts w:ascii="Times New Roman" w:hAnsi="Times New Roman" w:cs="Times New Roman"/>
            <w:sz w:val="20"/>
            <w:szCs w:val="20"/>
          </w:rPr>
          <w:tab/>
        </w:r>
        <w:r w:rsidR="00696236" w:rsidRPr="00D17CCE">
          <w:rPr>
            <w:rFonts w:ascii="Times New Roman" w:hAnsi="Times New Roman" w:cs="Times New Roman"/>
            <w:sz w:val="20"/>
            <w:szCs w:val="20"/>
          </w:rPr>
          <w:tab/>
        </w:r>
        <w:r w:rsidR="00696236" w:rsidRPr="00D17CC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96236" w:rsidRPr="00D17CC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696236" w:rsidRPr="00D17CC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6236" w:rsidRPr="00D17CCE">
          <w:rPr>
            <w:rFonts w:ascii="Times New Roman" w:hAnsi="Times New Roman" w:cs="Times New Roman"/>
            <w:sz w:val="20"/>
            <w:szCs w:val="20"/>
          </w:rPr>
          <w:t>2</w:t>
        </w:r>
        <w:r w:rsidR="00696236" w:rsidRPr="00D17CC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D681103" w14:textId="77777777" w:rsidR="00CB20EE" w:rsidRDefault="007921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BE6980"/>
    <w:multiLevelType w:val="hybridMultilevel"/>
    <w:tmpl w:val="67802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74"/>
    <w:rsid w:val="000B3AA1"/>
    <w:rsid w:val="00164D5B"/>
    <w:rsid w:val="00696236"/>
    <w:rsid w:val="00792149"/>
    <w:rsid w:val="007D1F74"/>
    <w:rsid w:val="00BD6556"/>
    <w:rsid w:val="00DD1991"/>
    <w:rsid w:val="00F22E7A"/>
    <w:rsid w:val="00F2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D0BE"/>
  <w15:chartTrackingRefBased/>
  <w15:docId w15:val="{16871A94-0942-4069-8988-85BD3C68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F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F74"/>
  </w:style>
  <w:style w:type="paragraph" w:styleId="Rodap">
    <w:name w:val="footer"/>
    <w:basedOn w:val="Normal"/>
    <w:link w:val="RodapChar"/>
    <w:uiPriority w:val="99"/>
    <w:unhideWhenUsed/>
    <w:rsid w:val="007D1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7D1F74"/>
  </w:style>
  <w:style w:type="character" w:styleId="Hyperlink">
    <w:name w:val="Hyperlink"/>
    <w:basedOn w:val="Fontepargpadro"/>
    <w:uiPriority w:val="99"/>
    <w:unhideWhenUsed/>
    <w:rsid w:val="007D1F74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7D1F74"/>
    <w:pPr>
      <w:spacing w:after="200"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7D1F74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jmachado@gmail.com" TargetMode="External"/><Relationship Id="rId13" Type="http://schemas.openxmlformats.org/officeDocument/2006/relationships/hyperlink" Target="https://www.gov.scot/publications/coronavirus-covid-19-tourism-and-hospitality-sector-guidan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inhoresosasco.com.br/wp-content/uploads/2020/06/E-book-Covid-Free__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puhe.2020.06.03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udamarcelin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eirac.claudia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1530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de Paula Camilo</dc:creator>
  <cp:keywords/>
  <dc:description/>
  <cp:lastModifiedBy>Luciano de Paula Camilo</cp:lastModifiedBy>
  <cp:revision>2</cp:revision>
  <dcterms:created xsi:type="dcterms:W3CDTF">2020-09-08T14:09:00Z</dcterms:created>
  <dcterms:modified xsi:type="dcterms:W3CDTF">2020-09-08T15:53:00Z</dcterms:modified>
</cp:coreProperties>
</file>